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Объем текста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— от 7 страниц.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Оригинальность текста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— не менее 70%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Аннотация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— не менее 70 слов.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ТЕКСТ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Формат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текста: 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Microsoft Word (*.doc, *.docx)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Ориентация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книжная.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Поля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(верхнее, нижнее, левое, правое): 2 см.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Шрифт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Times New Roman, размер (кегль) – 14.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Межстрочный интервал: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полуторный (1,5).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Форматирование: 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 ширине.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Текст статьи (тезисов) должен быть тщательно вычитан и отредактирован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допускаются разрывы разделов, страниц, колонки, использование разреженного или уплотненного межбуквенного интервала.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Нумерация страниц не допускается.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Рисунки и таблицы: 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графические материалы (текст в трудночитаемых шрифтах, графики, диаграммы, картинки и проч. ) представляются с разрешением не менее 300 dpi.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Рисунки и таблицы отделяются от текста сверху и снизу пустой строкой. На все таблицы и рисунки в тексте должны быть ссылки (Табл. 1; Рис. 1.).</w:t>
      </w:r>
    </w:p>
    <w:p w:rsidR="00CD39B3" w:rsidRPr="00CD39B3" w:rsidRDefault="00CD39B3" w:rsidP="00CD39B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9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444" stroked="f"/>
        </w:pic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ДО ТЕКСТА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Индекс УДК (выравнивание по правому краю). Найти УДК на сайте: </w:t>
      </w:r>
      <w:hyperlink r:id="rId4" w:history="1">
        <w:r w:rsidRPr="00CD39B3">
          <w:rPr>
            <w:rFonts w:ascii="Arial" w:eastAsia="Times New Roman" w:hAnsi="Arial" w:cs="Arial"/>
            <w:color w:val="2D5C88"/>
            <w:sz w:val="21"/>
            <w:szCs w:val="21"/>
            <w:u w:val="single"/>
            <w:lang w:eastAsia="ru-RU"/>
          </w:rPr>
          <w:t>http://teacode.com/online/udc</w:t>
        </w:r>
      </w:hyperlink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Название статьи (заглавные буквы, шрифт – полужирный, выравнивание по центру);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ФИО автора(-ов) </w:t>
      </w:r>
      <w:r w:rsidRPr="00CD39B3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полностью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на русском языке (заглавные, полужирный, выравнивание по правом краю) , строкой ниже — учёная степень, учёное звание, должность, место работы (учёбы) в именительном падеже,  (строчные, курсив, выравнивание по правом краю).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Аннотация на (кегль 14, от 70 слов, курсив, выравнивание по ширине);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Ключевые слова (кегль 14, не менее 7 слов, курсив, выравнивание по ширине);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Название статьи, фио автора (-ов), ученая степень, ученое звание, должность, место работы(учебы), аннотация, ключевые слова дублируются на английском языке.</w:t>
      </w:r>
    </w:p>
    <w:p w:rsidR="00CD39B3" w:rsidRPr="00CD39B3" w:rsidRDefault="00CD39B3" w:rsidP="00CD39B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9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444" stroked="f"/>
        </w:pic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ПОСЛЕ ТЕКСТА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Список литературы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оформляется в конце статьи </w:t>
      </w: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 алфавитном порядке 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 названием «СПИСОК ЛИТЕРАТУРЫ». В тексте </w:t>
      </w:r>
      <w:r w:rsidRPr="00CD39B3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ссылки на литературу</w:t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обозначаются квадратными скобками с указанием номера источника и через запятую – номера страницы: [5, с. 115]. </w:t>
      </w:r>
      <w:r w:rsidRPr="00CD39B3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Постраничные сноски не допускаются.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допускается автоматическая нумерация списка литературы. Нумерация списка в тексте делается вручную.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списке литературы сначала указываются отечественные источники, после них – иностранные.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Список литературы оформляется в соответствии с ГОСТ Р 7.0.5- 2008.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Пример оформления списка литературы: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СПИСОК ЛИТЕРАТУРЫ</w:t>
      </w:r>
    </w:p>
    <w:p w:rsidR="00CD39B3" w:rsidRPr="00CD39B3" w:rsidRDefault="00CD39B3" w:rsidP="00CD39B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Загвязинский В.И. Современная образовательная ситуация и задачи модернизации российского образования // Народное образование.  2012.  №3.  С. 81-97.</w:t>
      </w:r>
      <w:r w:rsidRPr="00CD39B3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Игнатьева М.Н. Системный подход к определению качества образования.  М.: Аспект Пресс, 2010.  156 с.</w:t>
      </w:r>
      <w:r w:rsidRPr="00CD39B3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 Шамова Т.И. Управление образовательными системами / Т. И. Шамова Т.М. Давыденко, Г. Н. Шибанов.  М.: Академия, 2002.  221 с.</w:t>
      </w:r>
      <w:r w:rsidRPr="00CD39B3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 Якиманская И.С. Мониторинг психологической безопасности образовательной среды и качества образования в условиях модернизации// Психологическая наука и образование.  2013.  №6.  С. 10-15.</w:t>
      </w:r>
      <w:r w:rsidRPr="00CD39B3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CD39B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5. Дирина А.И. Право военнослужащих Российской Федерации на свободу ассоциаций // Военное право: сетевой журнал.  2020. URL: http://www.voennoepravo.ru/node/2149.</w:t>
      </w:r>
    </w:p>
    <w:p w:rsidR="00E7660B" w:rsidRDefault="00E7660B">
      <w:bookmarkStart w:id="0" w:name="_GoBack"/>
      <w:bookmarkEnd w:id="0"/>
    </w:p>
    <w:sectPr w:rsidR="00E7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1B"/>
    <w:rsid w:val="00AE701B"/>
    <w:rsid w:val="00CD39B3"/>
    <w:rsid w:val="00E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EB47D-6B7E-4312-B23E-7679D44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9B3"/>
    <w:rPr>
      <w:b/>
      <w:bCs/>
    </w:rPr>
  </w:style>
  <w:style w:type="character" w:styleId="a5">
    <w:name w:val="Hyperlink"/>
    <w:basedOn w:val="a0"/>
    <w:uiPriority w:val="99"/>
    <w:semiHidden/>
    <w:unhideWhenUsed/>
    <w:rsid w:val="00CD39B3"/>
    <w:rPr>
      <w:color w:val="0000FF"/>
      <w:u w:val="single"/>
    </w:rPr>
  </w:style>
  <w:style w:type="character" w:styleId="a6">
    <w:name w:val="Emphasis"/>
    <w:basedOn w:val="a0"/>
    <w:uiPriority w:val="20"/>
    <w:qFormat/>
    <w:rsid w:val="00CD3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acode.com/online/u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2023-01-04T19:39:00Z</dcterms:created>
  <dcterms:modified xsi:type="dcterms:W3CDTF">2023-01-04T19:39:00Z</dcterms:modified>
</cp:coreProperties>
</file>